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5821" w14:textId="4F05EB85" w:rsidR="00947F03" w:rsidRDefault="00EB25AB" w:rsidP="00EB25AB">
      <w:pPr>
        <w:jc w:val="center"/>
        <w:rPr>
          <w:rFonts w:ascii="Gill Sans MT" w:hAnsi="Gill Sans MT"/>
          <w:b/>
          <w:u w:val="single"/>
        </w:rPr>
      </w:pPr>
      <w:r w:rsidRPr="00F257A7">
        <w:rPr>
          <w:rFonts w:ascii="Gill Sans MT" w:hAnsi="Gill Sans MT"/>
          <w:b/>
          <w:u w:val="single"/>
        </w:rPr>
        <w:t>Patient Charges – Fees for Non-NHS Services</w:t>
      </w:r>
      <w:r w:rsidR="003359F4">
        <w:rPr>
          <w:rFonts w:ascii="Gill Sans MT" w:hAnsi="Gill Sans MT"/>
          <w:b/>
          <w:u w:val="single"/>
        </w:rPr>
        <w:t xml:space="preserve"> – From </w:t>
      </w:r>
      <w:r w:rsidR="00DF0185">
        <w:rPr>
          <w:rFonts w:ascii="Gill Sans MT" w:hAnsi="Gill Sans MT"/>
          <w:b/>
          <w:u w:val="single"/>
        </w:rPr>
        <w:t>October</w:t>
      </w:r>
      <w:r w:rsidR="009F145C">
        <w:rPr>
          <w:rFonts w:ascii="Gill Sans MT" w:hAnsi="Gill Sans MT"/>
          <w:b/>
          <w:u w:val="single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57F1" w14:paraId="69E458E1" w14:textId="77777777" w:rsidTr="00701E8C">
        <w:tc>
          <w:tcPr>
            <w:tcW w:w="9242" w:type="dxa"/>
          </w:tcPr>
          <w:p w14:paraId="584BAACD" w14:textId="1CA1A405" w:rsidR="006157F1" w:rsidRPr="006157F1" w:rsidRDefault="006157F1" w:rsidP="00EB25AB">
            <w:pPr>
              <w:jc w:val="center"/>
              <w:rPr>
                <w:rFonts w:ascii="Gill Sans MT" w:hAnsi="Gill Sans MT"/>
                <w:b/>
              </w:rPr>
            </w:pPr>
            <w:r w:rsidRPr="006157F1">
              <w:rPr>
                <w:rFonts w:ascii="Gill Sans MT" w:hAnsi="Gill Sans MT"/>
                <w:b/>
              </w:rPr>
              <w:t>Medical Records</w:t>
            </w:r>
            <w:r w:rsidR="00E21B51">
              <w:rPr>
                <w:rFonts w:ascii="Gill Sans MT" w:hAnsi="Gill Sans MT"/>
                <w:b/>
              </w:rPr>
              <w:t xml:space="preserve"> Access</w:t>
            </w:r>
            <w:r w:rsidR="00620B54">
              <w:rPr>
                <w:rFonts w:ascii="Gill Sans MT" w:hAnsi="Gill Sans MT"/>
                <w:b/>
              </w:rPr>
              <w:t xml:space="preserve"> – S</w:t>
            </w:r>
            <w:r w:rsidR="00006039">
              <w:rPr>
                <w:rFonts w:ascii="Gill Sans MT" w:hAnsi="Gill Sans MT"/>
                <w:b/>
              </w:rPr>
              <w:t xml:space="preserve">ubject Access </w:t>
            </w:r>
            <w:r w:rsidR="00620B54">
              <w:rPr>
                <w:rFonts w:ascii="Gill Sans MT" w:hAnsi="Gill Sans MT"/>
                <w:b/>
              </w:rPr>
              <w:t>Request</w:t>
            </w:r>
            <w:r w:rsidR="00171F4B">
              <w:rPr>
                <w:rFonts w:ascii="Gill Sans MT" w:hAnsi="Gill Sans MT"/>
                <w:b/>
              </w:rPr>
              <w:t xml:space="preserve"> (SAR)</w:t>
            </w:r>
          </w:p>
        </w:tc>
      </w:tr>
      <w:tr w:rsidR="00482114" w14:paraId="51FD7049" w14:textId="77777777" w:rsidTr="00D926FE">
        <w:tc>
          <w:tcPr>
            <w:tcW w:w="9242" w:type="dxa"/>
          </w:tcPr>
          <w:p w14:paraId="6D97BD64" w14:textId="77777777" w:rsidR="00482114" w:rsidRDefault="00482114" w:rsidP="00171F4B">
            <w:pPr>
              <w:jc w:val="center"/>
              <w:rPr>
                <w:rFonts w:ascii="Gill Sans MT" w:hAnsi="Gill Sans MT"/>
              </w:rPr>
            </w:pPr>
          </w:p>
          <w:p w14:paraId="40208DA3" w14:textId="44C79B34" w:rsidR="00EE70D5" w:rsidRDefault="00EE70D5" w:rsidP="00171F4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 Charge for genuine SAR request under GDPR 2018</w:t>
            </w:r>
          </w:p>
          <w:p w14:paraId="16EAB251" w14:textId="77777777" w:rsidR="00EE70D5" w:rsidRDefault="00EE70D5" w:rsidP="00171F4B">
            <w:pPr>
              <w:jc w:val="center"/>
              <w:rPr>
                <w:rFonts w:ascii="Gill Sans MT" w:hAnsi="Gill Sans MT"/>
              </w:rPr>
            </w:pPr>
          </w:p>
          <w:p w14:paraId="5AE222A7" w14:textId="1730A46C" w:rsidR="00482114" w:rsidRDefault="00482114" w:rsidP="00171F4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Please note that patients may only request a single copy of their Medical Records for free. </w:t>
            </w:r>
          </w:p>
          <w:p w14:paraId="12351CFE" w14:textId="632615D4" w:rsidR="00482114" w:rsidRDefault="00482114" w:rsidP="00171F4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Multiple, or repeat requests, will be charged at a price determined by the size of the request and the time taken to produce the Medical Reco</w:t>
            </w:r>
            <w:r w:rsidR="00F04605">
              <w:rPr>
                <w:rFonts w:ascii="Gill Sans MT" w:hAnsi="Gill Sans MT"/>
              </w:rPr>
              <w:t>rd</w:t>
            </w:r>
            <w:r>
              <w:rPr>
                <w:rFonts w:ascii="Gill Sans MT" w:hAnsi="Gill Sans MT"/>
              </w:rPr>
              <w:t>s</w:t>
            </w:r>
            <w:r w:rsidR="00F04605">
              <w:rPr>
                <w:rFonts w:ascii="Gill Sans MT" w:hAnsi="Gill Sans MT"/>
              </w:rPr>
              <w:t>.</w:t>
            </w:r>
            <w:r>
              <w:rPr>
                <w:rFonts w:ascii="Gill Sans MT" w:hAnsi="Gill Sans MT"/>
              </w:rPr>
              <w:t xml:space="preserve"> </w:t>
            </w:r>
          </w:p>
          <w:p w14:paraId="0C84847C" w14:textId="77777777" w:rsidR="00006039" w:rsidRDefault="00006039" w:rsidP="00171F4B">
            <w:pPr>
              <w:jc w:val="center"/>
              <w:rPr>
                <w:rFonts w:ascii="Gill Sans MT" w:hAnsi="Gill Sans MT"/>
              </w:rPr>
            </w:pPr>
          </w:p>
          <w:p w14:paraId="2B3BCB4C" w14:textId="437A2EAF" w:rsidR="00006039" w:rsidRDefault="00006039" w:rsidP="00171F4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Patients may view and access their own health record via the NHS App and we therefore request that patients utilise this service to access their medical records where possible.</w:t>
            </w:r>
          </w:p>
          <w:p w14:paraId="4EC8145E" w14:textId="40CCF0E7" w:rsidR="00006039" w:rsidRDefault="00006039" w:rsidP="00171F4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Patients are also kindly requested to only request relevant information from their medical record</w:t>
            </w:r>
          </w:p>
          <w:p w14:paraId="44A40CBB" w14:textId="77777777" w:rsidR="00006039" w:rsidRDefault="00006039" w:rsidP="00171F4B">
            <w:pPr>
              <w:jc w:val="center"/>
              <w:rPr>
                <w:rFonts w:ascii="Gill Sans MT" w:hAnsi="Gill Sans MT"/>
              </w:rPr>
            </w:pPr>
          </w:p>
          <w:p w14:paraId="3D4C4166" w14:textId="229766A4" w:rsidR="00006039" w:rsidRDefault="00006039" w:rsidP="00171F4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Producing SARs is timely and </w:t>
            </w:r>
            <w:r w:rsidR="00F06F5F">
              <w:rPr>
                <w:rFonts w:ascii="Gill Sans MT" w:hAnsi="Gill Sans MT"/>
              </w:rPr>
              <w:t>diverts</w:t>
            </w:r>
            <w:r w:rsidR="00D408B7">
              <w:rPr>
                <w:rFonts w:ascii="Gill Sans MT" w:hAnsi="Gill Sans MT"/>
              </w:rPr>
              <w:t xml:space="preserve"> hours of GP time which could</w:t>
            </w:r>
            <w:r w:rsidR="00F06F5F">
              <w:rPr>
                <w:rFonts w:ascii="Gill Sans MT" w:hAnsi="Gill Sans MT"/>
              </w:rPr>
              <w:t xml:space="preserve"> otherwise</w:t>
            </w:r>
            <w:r w:rsidR="00D408B7">
              <w:rPr>
                <w:rFonts w:ascii="Gill Sans MT" w:hAnsi="Gill Sans MT"/>
              </w:rPr>
              <w:t xml:space="preserve"> be spent seeing patients. We kindly ask that patients are therefore considerate in their SAR requests in all </w:t>
            </w:r>
            <w:r w:rsidR="00F06F5F">
              <w:rPr>
                <w:rFonts w:ascii="Gill Sans MT" w:hAnsi="Gill Sans MT"/>
              </w:rPr>
              <w:t>instances</w:t>
            </w:r>
          </w:p>
          <w:p w14:paraId="69AAA15E" w14:textId="791BD86B" w:rsidR="00482114" w:rsidRDefault="00482114" w:rsidP="00171F4B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0EE4E8DD" w14:textId="2EFBCFCB" w:rsidR="008C2E8B" w:rsidRDefault="0041538A" w:rsidP="008C2E8B">
      <w:pPr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 xml:space="preserve">Costs </w:t>
      </w:r>
      <w:r w:rsidR="008C2E8B">
        <w:rPr>
          <w:rFonts w:ascii="Gill Sans MT" w:hAnsi="Gill Sans MT"/>
          <w:b/>
          <w:u w:val="single"/>
        </w:rPr>
        <w:t>of Non-NHS Work</w:t>
      </w:r>
    </w:p>
    <w:p w14:paraId="35CD101B" w14:textId="35E35884" w:rsidR="00E93984" w:rsidRDefault="008C2E8B" w:rsidP="00F670FF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We calculate the cost of work charge</w:t>
      </w:r>
      <w:r w:rsidR="00EE70D5">
        <w:rPr>
          <w:rFonts w:ascii="Gill Sans MT" w:hAnsi="Gill Sans MT"/>
          <w:bCs/>
        </w:rPr>
        <w:t>d</w:t>
      </w:r>
      <w:r>
        <w:rPr>
          <w:rFonts w:ascii="Gill Sans MT" w:hAnsi="Gill Sans MT"/>
          <w:bCs/>
        </w:rPr>
        <w:t xml:space="preserve"> for based on the amount of time taken on the request. As an indication of the expected cost please refer to the table below. </w:t>
      </w:r>
      <w:r w:rsidR="00A42948">
        <w:rPr>
          <w:rFonts w:ascii="Gill Sans MT" w:hAnsi="Gill Sans MT"/>
          <w:bCs/>
        </w:rPr>
        <w:t>Payment of</w:t>
      </w:r>
      <w:r w:rsidR="00E93984">
        <w:rPr>
          <w:rFonts w:ascii="Gill Sans MT" w:hAnsi="Gill Sans MT"/>
          <w:bCs/>
        </w:rPr>
        <w:t xml:space="preserve"> the anticipated</w:t>
      </w:r>
      <w:r w:rsidR="00A42948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>cost</w:t>
      </w:r>
      <w:r w:rsidR="009758E3">
        <w:rPr>
          <w:rFonts w:ascii="Gill Sans MT" w:hAnsi="Gill Sans MT"/>
          <w:bCs/>
        </w:rPr>
        <w:t xml:space="preserve"> </w:t>
      </w:r>
      <w:r w:rsidR="00A42948">
        <w:rPr>
          <w:rFonts w:ascii="Gill Sans MT" w:hAnsi="Gill Sans MT"/>
          <w:bCs/>
        </w:rPr>
        <w:t xml:space="preserve">is </w:t>
      </w:r>
      <w:r>
        <w:rPr>
          <w:rFonts w:ascii="Gill Sans MT" w:hAnsi="Gill Sans MT"/>
          <w:bCs/>
        </w:rPr>
        <w:t>require</w:t>
      </w:r>
      <w:r w:rsidR="00A42948">
        <w:rPr>
          <w:rFonts w:ascii="Gill Sans MT" w:hAnsi="Gill Sans MT"/>
          <w:bCs/>
        </w:rPr>
        <w:t>d</w:t>
      </w:r>
      <w:r>
        <w:rPr>
          <w:rFonts w:ascii="Gill Sans MT" w:hAnsi="Gill Sans MT"/>
          <w:bCs/>
        </w:rPr>
        <w:t xml:space="preserve"> </w:t>
      </w:r>
      <w:r w:rsidR="00A42948">
        <w:rPr>
          <w:rFonts w:ascii="Gill Sans MT" w:hAnsi="Gill Sans MT"/>
          <w:bCs/>
        </w:rPr>
        <w:t>prior to</w:t>
      </w:r>
      <w:r>
        <w:rPr>
          <w:rFonts w:ascii="Gill Sans MT" w:hAnsi="Gill Sans MT"/>
          <w:bCs/>
        </w:rPr>
        <w:t xml:space="preserve"> work being undertaken. </w:t>
      </w:r>
      <w:r w:rsidR="00A42948">
        <w:rPr>
          <w:rFonts w:ascii="Gill Sans MT" w:hAnsi="Gill Sans MT"/>
          <w:bCs/>
        </w:rPr>
        <w:t>Additional charges will be made i</w:t>
      </w:r>
      <w:r>
        <w:rPr>
          <w:rFonts w:ascii="Gill Sans MT" w:hAnsi="Gill Sans MT"/>
          <w:bCs/>
        </w:rPr>
        <w:t>f the work takes longer than anticipated</w:t>
      </w:r>
      <w:r w:rsidR="00A42948">
        <w:rPr>
          <w:rFonts w:ascii="Gill Sans MT" w:hAnsi="Gill Sans MT"/>
          <w:bCs/>
        </w:rPr>
        <w:t>.</w:t>
      </w:r>
      <w:r>
        <w:rPr>
          <w:rFonts w:ascii="Gill Sans MT" w:hAnsi="Gill Sans MT"/>
          <w:bCs/>
        </w:rPr>
        <w:t xml:space="preserve"> </w:t>
      </w:r>
      <w:r w:rsidR="00A42948">
        <w:rPr>
          <w:rFonts w:ascii="Gill Sans MT" w:hAnsi="Gill Sans MT"/>
          <w:bCs/>
        </w:rPr>
        <w:t>P</w:t>
      </w:r>
      <w:r>
        <w:rPr>
          <w:rFonts w:ascii="Gill Sans MT" w:hAnsi="Gill Sans MT"/>
          <w:bCs/>
        </w:rPr>
        <w:t xml:space="preserve">atients </w:t>
      </w:r>
      <w:r w:rsidR="00A42948">
        <w:rPr>
          <w:rFonts w:ascii="Gill Sans MT" w:hAnsi="Gill Sans MT"/>
          <w:bCs/>
        </w:rPr>
        <w:t xml:space="preserve">will be advised of </w:t>
      </w:r>
      <w:r>
        <w:rPr>
          <w:rFonts w:ascii="Gill Sans MT" w:hAnsi="Gill Sans MT"/>
          <w:bCs/>
        </w:rPr>
        <w:t>additional</w:t>
      </w:r>
      <w:r w:rsidR="00A42948">
        <w:rPr>
          <w:rFonts w:ascii="Gill Sans MT" w:hAnsi="Gill Sans MT"/>
          <w:bCs/>
        </w:rPr>
        <w:t xml:space="preserve"> costs </w:t>
      </w:r>
      <w:r w:rsidR="009758E3">
        <w:rPr>
          <w:rFonts w:ascii="Gill Sans MT" w:hAnsi="Gill Sans MT"/>
          <w:bCs/>
        </w:rPr>
        <w:t>prior to release of the documentation.</w:t>
      </w:r>
    </w:p>
    <w:tbl>
      <w:tblPr>
        <w:tblW w:w="6637" w:type="dxa"/>
        <w:jc w:val="center"/>
        <w:tblLook w:val="04A0" w:firstRow="1" w:lastRow="0" w:firstColumn="1" w:lastColumn="0" w:noHBand="0" w:noVBand="1"/>
      </w:tblPr>
      <w:tblGrid>
        <w:gridCol w:w="2497"/>
        <w:gridCol w:w="2260"/>
        <w:gridCol w:w="1880"/>
      </w:tblGrid>
      <w:tr w:rsidR="009758E3" w:rsidRPr="009758E3" w14:paraId="0EB83DB8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925C521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6908769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Time Spent (Estimated)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noWrap/>
            <w:vAlign w:val="bottom"/>
            <w:hideMark/>
          </w:tcPr>
          <w:p w14:paraId="04BAD634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Charge to Patient</w:t>
            </w:r>
          </w:p>
        </w:tc>
      </w:tr>
      <w:tr w:rsidR="009758E3" w:rsidRPr="009758E3" w14:paraId="47168E15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17E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CAB7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15 mins - 30 mins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77D15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£40 - £60 </w:t>
            </w:r>
          </w:p>
        </w:tc>
      </w:tr>
      <w:tr w:rsidR="009758E3" w:rsidRPr="009758E3" w14:paraId="3B5A841B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46B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B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B014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30 mins - 45mins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EB59F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£60 - £85 </w:t>
            </w:r>
          </w:p>
        </w:tc>
      </w:tr>
      <w:tr w:rsidR="009758E3" w:rsidRPr="009758E3" w14:paraId="763A0353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D681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C68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45 mins - 1 hour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59ECD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£85 - £105 </w:t>
            </w:r>
          </w:p>
        </w:tc>
      </w:tr>
      <w:tr w:rsidR="009758E3" w:rsidRPr="009758E3" w14:paraId="67324D24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73B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1B1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1hr - 1h 15 mins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282D7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£105 - £130 </w:t>
            </w:r>
          </w:p>
        </w:tc>
      </w:tr>
      <w:tr w:rsidR="009758E3" w:rsidRPr="009758E3" w14:paraId="2E40232C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285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7622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1h 15m - 1h 30m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8CA92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£130 - £150 </w:t>
            </w:r>
          </w:p>
        </w:tc>
      </w:tr>
      <w:tr w:rsidR="009758E3" w:rsidRPr="009758E3" w14:paraId="7FB3F441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A8B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F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155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1h 30m - 1h 45m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AE51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£150 -£175 </w:t>
            </w:r>
          </w:p>
        </w:tc>
      </w:tr>
      <w:tr w:rsidR="009758E3" w:rsidRPr="009758E3" w14:paraId="1B1BD9E5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4B57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0778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1h 45m - 2hours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46FA6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£175 - £200 </w:t>
            </w:r>
          </w:p>
        </w:tc>
      </w:tr>
      <w:tr w:rsidR="009758E3" w:rsidRPr="009758E3" w14:paraId="04E57C84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EE93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2B6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2 hours - 2h 15m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71AA2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£200 - £220 </w:t>
            </w:r>
          </w:p>
        </w:tc>
      </w:tr>
      <w:tr w:rsidR="009758E3" w:rsidRPr="009758E3" w14:paraId="1A7022DA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8840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737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2h 15m - 2h 30m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9A51D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£220 - £240 </w:t>
            </w:r>
          </w:p>
        </w:tc>
      </w:tr>
      <w:tr w:rsidR="009758E3" w:rsidRPr="009758E3" w14:paraId="41B6EC7D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C73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J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4E04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2h 30m - 2h 55m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ABB0F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£240 - £275 </w:t>
            </w:r>
          </w:p>
        </w:tc>
      </w:tr>
      <w:tr w:rsidR="009758E3" w:rsidRPr="009758E3" w14:paraId="6E3FBB36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6089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3B8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2h 55m - 3h 10m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FF9D2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£275 - £300 </w:t>
            </w:r>
          </w:p>
        </w:tc>
      </w:tr>
      <w:tr w:rsidR="009758E3" w:rsidRPr="009758E3" w14:paraId="2884CDDD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033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E3F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3h 10m - 3h 30m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DF6DF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£300 - £330 </w:t>
            </w:r>
          </w:p>
        </w:tc>
      </w:tr>
      <w:tr w:rsidR="009758E3" w:rsidRPr="009758E3" w14:paraId="2A522EAF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4CB6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927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3h 30m - 4 hours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EF824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£330 - £375 </w:t>
            </w:r>
          </w:p>
        </w:tc>
      </w:tr>
      <w:tr w:rsidR="009758E3" w:rsidRPr="009758E3" w14:paraId="42020C7A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AC7E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B19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4 hours - 5 hours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D494E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£375 - £450 </w:t>
            </w:r>
          </w:p>
        </w:tc>
      </w:tr>
      <w:tr w:rsidR="009758E3" w:rsidRPr="009758E3" w14:paraId="1D9F8428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7AC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CC24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5 hours - 6 hours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E682D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£450 - £550 </w:t>
            </w:r>
          </w:p>
        </w:tc>
      </w:tr>
      <w:tr w:rsidR="009758E3" w:rsidRPr="009758E3" w14:paraId="7AB8F700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A509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0E15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6 hours - 7 hours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FDDE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£550 - £650 </w:t>
            </w:r>
          </w:p>
        </w:tc>
      </w:tr>
      <w:tr w:rsidR="009758E3" w:rsidRPr="009758E3" w14:paraId="53DA755A" w14:textId="77777777" w:rsidTr="009D2EF5">
        <w:trPr>
          <w:trHeight w:val="30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B489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Q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B73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7 hours - 8 hours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BDC2C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£650 - £730 </w:t>
            </w:r>
          </w:p>
        </w:tc>
      </w:tr>
      <w:tr w:rsidR="009758E3" w:rsidRPr="009758E3" w14:paraId="01CF4708" w14:textId="77777777" w:rsidTr="009D2EF5">
        <w:trPr>
          <w:trHeight w:val="315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0CA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Band 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C015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>8 hours - 9 hours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7B248" w14:textId="77777777" w:rsidR="009758E3" w:rsidRPr="009758E3" w:rsidRDefault="009758E3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9758E3">
              <w:rPr>
                <w:rFonts w:ascii="Aptos Narrow" w:eastAsia="Times New Roman" w:hAnsi="Aptos Narrow" w:cs="Times New Roman"/>
                <w:color w:val="000000"/>
              </w:rPr>
              <w:t xml:space="preserve"> £730 - £820 </w:t>
            </w:r>
          </w:p>
        </w:tc>
      </w:tr>
      <w:tr w:rsidR="00E93984" w:rsidRPr="009758E3" w14:paraId="4A993C55" w14:textId="77777777" w:rsidTr="009D2EF5">
        <w:trPr>
          <w:trHeight w:val="315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6FBB" w14:textId="77777777" w:rsidR="00E93984" w:rsidRPr="009758E3" w:rsidRDefault="00E93984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4A14" w14:textId="77777777" w:rsidR="00E93984" w:rsidRPr="009758E3" w:rsidRDefault="00E93984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29F61" w14:textId="77777777" w:rsidR="00E93984" w:rsidRPr="009758E3" w:rsidRDefault="00E93984" w:rsidP="009758E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EB25AB" w:rsidRPr="00F257A7" w14:paraId="6FBAADE2" w14:textId="77777777" w:rsidTr="00444066">
        <w:tc>
          <w:tcPr>
            <w:tcW w:w="9242" w:type="dxa"/>
            <w:gridSpan w:val="2"/>
          </w:tcPr>
          <w:p w14:paraId="4EF38824" w14:textId="7C399A38" w:rsidR="00EB25AB" w:rsidRPr="00F257A7" w:rsidRDefault="008C2E8B" w:rsidP="00EB25AB">
            <w:pPr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Cs/>
              </w:rPr>
              <w:lastRenderedPageBreak/>
              <w:t xml:space="preserve"> </w:t>
            </w:r>
            <w:r w:rsidR="00EB25AB" w:rsidRPr="00F257A7">
              <w:rPr>
                <w:rFonts w:ascii="Gill Sans MT" w:hAnsi="Gill Sans MT"/>
                <w:b/>
              </w:rPr>
              <w:t>Medical Reports</w:t>
            </w:r>
          </w:p>
        </w:tc>
      </w:tr>
      <w:tr w:rsidR="00F257A7" w:rsidRPr="00F257A7" w14:paraId="2273C8C3" w14:textId="77777777" w:rsidTr="009758E3">
        <w:tc>
          <w:tcPr>
            <w:tcW w:w="6629" w:type="dxa"/>
          </w:tcPr>
          <w:p w14:paraId="0C86924C" w14:textId="263169AF" w:rsidR="00171F4B" w:rsidRPr="00F257A7" w:rsidRDefault="003B481C" w:rsidP="009758E3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Extract From Records</w:t>
            </w:r>
            <w:r w:rsidR="009758E3">
              <w:rPr>
                <w:rFonts w:ascii="Gill Sans MT" w:hAnsi="Gill Sans MT"/>
              </w:rPr>
              <w:t xml:space="preserve"> </w:t>
            </w:r>
            <w:r w:rsidR="00171F4B">
              <w:rPr>
                <w:rFonts w:ascii="Gill Sans MT" w:hAnsi="Gill Sans MT"/>
              </w:rPr>
              <w:t>Inc</w:t>
            </w:r>
            <w:r w:rsidR="00BE2AEB">
              <w:rPr>
                <w:rFonts w:ascii="Gill Sans MT" w:hAnsi="Gill Sans MT"/>
              </w:rPr>
              <w:t>.</w:t>
            </w:r>
            <w:r w:rsidR="00171F4B">
              <w:rPr>
                <w:rFonts w:ascii="Gill Sans MT" w:hAnsi="Gill Sans MT"/>
              </w:rPr>
              <w:t xml:space="preserve"> AMRA requests</w:t>
            </w:r>
            <w:r w:rsidR="00BE2AEB">
              <w:rPr>
                <w:rFonts w:ascii="Gill Sans MT" w:hAnsi="Gill Sans MT"/>
              </w:rPr>
              <w:t xml:space="preserve"> from solicitor/insurer</w:t>
            </w:r>
          </w:p>
        </w:tc>
        <w:tc>
          <w:tcPr>
            <w:tcW w:w="2613" w:type="dxa"/>
          </w:tcPr>
          <w:p w14:paraId="21A718EC" w14:textId="0C7575F7" w:rsidR="00F257A7" w:rsidRDefault="009758E3" w:rsidP="008E6350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Band A</w:t>
            </w:r>
            <w:r w:rsidR="00D27D34">
              <w:rPr>
                <w:rFonts w:ascii="Gill Sans MT" w:hAnsi="Gill Sans MT"/>
              </w:rPr>
              <w:t xml:space="preserve"> </w:t>
            </w:r>
          </w:p>
        </w:tc>
      </w:tr>
      <w:tr w:rsidR="001D7E77" w:rsidRPr="00F257A7" w14:paraId="435A7870" w14:textId="77777777" w:rsidTr="009758E3">
        <w:tc>
          <w:tcPr>
            <w:tcW w:w="6629" w:type="dxa"/>
          </w:tcPr>
          <w:p w14:paraId="4EE9AF10" w14:textId="77777777" w:rsidR="001D7E77" w:rsidRPr="00F257A7" w:rsidRDefault="000D7061" w:rsidP="00C03B9A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Report on Prof Forma (no examination)</w:t>
            </w:r>
          </w:p>
        </w:tc>
        <w:tc>
          <w:tcPr>
            <w:tcW w:w="2613" w:type="dxa"/>
          </w:tcPr>
          <w:p w14:paraId="75EDEAED" w14:textId="75EC3CDC" w:rsidR="001D7E77" w:rsidRDefault="009758E3" w:rsidP="000D706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Band B</w:t>
            </w:r>
          </w:p>
        </w:tc>
      </w:tr>
      <w:tr w:rsidR="000D7061" w:rsidRPr="00F257A7" w14:paraId="6DC1F734" w14:textId="77777777" w:rsidTr="009758E3">
        <w:tc>
          <w:tcPr>
            <w:tcW w:w="6629" w:type="dxa"/>
          </w:tcPr>
          <w:p w14:paraId="10A5124E" w14:textId="780A1FB7" w:rsidR="000D7061" w:rsidRPr="00F257A7" w:rsidRDefault="000D7061" w:rsidP="009758E3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Written report (no examination)</w:t>
            </w:r>
            <w:r w:rsidR="009758E3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often including doctor opinion</w:t>
            </w:r>
          </w:p>
        </w:tc>
        <w:tc>
          <w:tcPr>
            <w:tcW w:w="2613" w:type="dxa"/>
            <w:vAlign w:val="center"/>
          </w:tcPr>
          <w:p w14:paraId="27BBE160" w14:textId="59CF0B79" w:rsidR="000D7061" w:rsidRPr="00F257A7" w:rsidRDefault="009758E3" w:rsidP="000D7061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Band D</w:t>
            </w:r>
          </w:p>
        </w:tc>
      </w:tr>
      <w:tr w:rsidR="009758E3" w:rsidRPr="00F257A7" w14:paraId="7D7638FE" w14:textId="77777777" w:rsidTr="009758E3">
        <w:tc>
          <w:tcPr>
            <w:tcW w:w="6629" w:type="dxa"/>
          </w:tcPr>
          <w:p w14:paraId="48E73E13" w14:textId="553F217C" w:rsidR="009758E3" w:rsidRPr="00F257A7" w:rsidRDefault="009758E3" w:rsidP="009758E3">
            <w:pPr>
              <w:jc w:val="center"/>
              <w:rPr>
                <w:rFonts w:ascii="Gill Sans MT" w:hAnsi="Gill Sans MT"/>
              </w:rPr>
            </w:pPr>
            <w:r>
              <w:t>Blue Badge Scheme – Summary Only</w:t>
            </w:r>
          </w:p>
        </w:tc>
        <w:tc>
          <w:tcPr>
            <w:tcW w:w="2613" w:type="dxa"/>
          </w:tcPr>
          <w:p w14:paraId="6A453E5C" w14:textId="71F4734D" w:rsidR="009758E3" w:rsidRPr="00F257A7" w:rsidRDefault="009758E3" w:rsidP="009758E3">
            <w:pPr>
              <w:jc w:val="center"/>
              <w:rPr>
                <w:rFonts w:ascii="Gill Sans MT" w:hAnsi="Gill Sans MT"/>
              </w:rPr>
            </w:pPr>
            <w:r>
              <w:t>Free</w:t>
            </w:r>
          </w:p>
        </w:tc>
      </w:tr>
      <w:tr w:rsidR="009758E3" w:rsidRPr="00F257A7" w14:paraId="748B2C7D" w14:textId="77777777" w:rsidTr="009758E3">
        <w:tc>
          <w:tcPr>
            <w:tcW w:w="6629" w:type="dxa"/>
          </w:tcPr>
          <w:p w14:paraId="3B7565DB" w14:textId="49F84855" w:rsidR="009758E3" w:rsidRPr="00F257A7" w:rsidRDefault="009758E3" w:rsidP="009758E3">
            <w:pPr>
              <w:jc w:val="center"/>
              <w:rPr>
                <w:rFonts w:ascii="Gill Sans MT" w:hAnsi="Gill Sans MT"/>
              </w:rPr>
            </w:pPr>
            <w:r>
              <w:t>Blue Badge Scheme – Examination and Report</w:t>
            </w:r>
          </w:p>
        </w:tc>
        <w:tc>
          <w:tcPr>
            <w:tcW w:w="2613" w:type="dxa"/>
          </w:tcPr>
          <w:p w14:paraId="21D14685" w14:textId="54FBCC5B" w:rsidR="009758E3" w:rsidRPr="00F257A7" w:rsidRDefault="009758E3" w:rsidP="009758E3">
            <w:pPr>
              <w:jc w:val="center"/>
              <w:rPr>
                <w:rFonts w:ascii="Gill Sans MT" w:hAnsi="Gill Sans MT"/>
              </w:rPr>
            </w:pPr>
            <w:r>
              <w:t>Band C</w:t>
            </w:r>
          </w:p>
        </w:tc>
      </w:tr>
      <w:tr w:rsidR="009758E3" w:rsidRPr="00F257A7" w14:paraId="46243419" w14:textId="77777777" w:rsidTr="009758E3">
        <w:tc>
          <w:tcPr>
            <w:tcW w:w="6629" w:type="dxa"/>
          </w:tcPr>
          <w:p w14:paraId="5097D654" w14:textId="63DDC318" w:rsidR="009758E3" w:rsidRDefault="009758E3" w:rsidP="009758E3">
            <w:pPr>
              <w:jc w:val="center"/>
            </w:pPr>
            <w:r>
              <w:t>DVLA – Examination and Report</w:t>
            </w:r>
          </w:p>
        </w:tc>
        <w:tc>
          <w:tcPr>
            <w:tcW w:w="2613" w:type="dxa"/>
          </w:tcPr>
          <w:p w14:paraId="6C063B77" w14:textId="3C822E9B" w:rsidR="009758E3" w:rsidRDefault="009758E3" w:rsidP="009758E3">
            <w:pPr>
              <w:jc w:val="center"/>
            </w:pPr>
            <w:r>
              <w:t>Band E</w:t>
            </w:r>
          </w:p>
        </w:tc>
      </w:tr>
      <w:tr w:rsidR="00300DF3" w:rsidRPr="00F257A7" w14:paraId="7C427AB0" w14:textId="77777777" w:rsidTr="009758E3">
        <w:tc>
          <w:tcPr>
            <w:tcW w:w="6629" w:type="dxa"/>
          </w:tcPr>
          <w:p w14:paraId="1A5D774A" w14:textId="15F6E1BA" w:rsidR="00300DF3" w:rsidRDefault="00300DF3" w:rsidP="009758E3">
            <w:pPr>
              <w:jc w:val="center"/>
            </w:pPr>
            <w:r>
              <w:t>GP report without examination</w:t>
            </w:r>
          </w:p>
        </w:tc>
        <w:tc>
          <w:tcPr>
            <w:tcW w:w="2613" w:type="dxa"/>
          </w:tcPr>
          <w:p w14:paraId="0EB621FC" w14:textId="20DDA3A7" w:rsidR="00300DF3" w:rsidRDefault="00300DF3" w:rsidP="009758E3">
            <w:pPr>
              <w:jc w:val="center"/>
            </w:pPr>
            <w:r>
              <w:t>Band E</w:t>
            </w:r>
          </w:p>
        </w:tc>
      </w:tr>
      <w:tr w:rsidR="00300DF3" w:rsidRPr="00F257A7" w14:paraId="74DE9226" w14:textId="77777777" w:rsidTr="009758E3">
        <w:tc>
          <w:tcPr>
            <w:tcW w:w="6629" w:type="dxa"/>
          </w:tcPr>
          <w:p w14:paraId="733452D8" w14:textId="26E47373" w:rsidR="00300DF3" w:rsidRDefault="00300DF3" w:rsidP="009758E3">
            <w:pPr>
              <w:jc w:val="center"/>
            </w:pPr>
            <w:r>
              <w:t>GP report without examination (with GP Opinion)</w:t>
            </w:r>
          </w:p>
        </w:tc>
        <w:tc>
          <w:tcPr>
            <w:tcW w:w="2613" w:type="dxa"/>
          </w:tcPr>
          <w:p w14:paraId="395B0BC0" w14:textId="2BA2C7F4" w:rsidR="00300DF3" w:rsidRDefault="00300DF3" w:rsidP="009758E3">
            <w:pPr>
              <w:jc w:val="center"/>
            </w:pPr>
            <w:r>
              <w:t>Band F</w:t>
            </w:r>
          </w:p>
        </w:tc>
      </w:tr>
      <w:tr w:rsidR="00300DF3" w:rsidRPr="00F257A7" w14:paraId="4509192D" w14:textId="77777777" w:rsidTr="009758E3">
        <w:tc>
          <w:tcPr>
            <w:tcW w:w="6629" w:type="dxa"/>
          </w:tcPr>
          <w:p w14:paraId="3C9AF1A2" w14:textId="4DD263DE" w:rsidR="00300DF3" w:rsidRDefault="00300DF3" w:rsidP="009758E3">
            <w:pPr>
              <w:jc w:val="center"/>
            </w:pPr>
            <w:r>
              <w:t>GP Report with examination</w:t>
            </w:r>
          </w:p>
        </w:tc>
        <w:tc>
          <w:tcPr>
            <w:tcW w:w="2613" w:type="dxa"/>
          </w:tcPr>
          <w:p w14:paraId="1F34BB7B" w14:textId="73D978BE" w:rsidR="00300DF3" w:rsidRDefault="00300DF3" w:rsidP="009758E3">
            <w:pPr>
              <w:jc w:val="center"/>
            </w:pPr>
            <w:r>
              <w:t>Band F</w:t>
            </w:r>
          </w:p>
        </w:tc>
      </w:tr>
      <w:tr w:rsidR="00300DF3" w:rsidRPr="00F257A7" w14:paraId="514B6A57" w14:textId="77777777" w:rsidTr="009758E3">
        <w:tc>
          <w:tcPr>
            <w:tcW w:w="6629" w:type="dxa"/>
          </w:tcPr>
          <w:p w14:paraId="6D0A5072" w14:textId="23FA5534" w:rsidR="00300DF3" w:rsidRDefault="00300DF3" w:rsidP="009758E3">
            <w:pPr>
              <w:jc w:val="center"/>
            </w:pPr>
            <w:r>
              <w:t>GP Report with examination (with GP Opinion)</w:t>
            </w:r>
          </w:p>
        </w:tc>
        <w:tc>
          <w:tcPr>
            <w:tcW w:w="2613" w:type="dxa"/>
          </w:tcPr>
          <w:p w14:paraId="3FBD03E6" w14:textId="33F5DE42" w:rsidR="00300DF3" w:rsidRDefault="00300DF3" w:rsidP="009758E3">
            <w:pPr>
              <w:jc w:val="center"/>
            </w:pPr>
            <w:r>
              <w:t>Band G</w:t>
            </w:r>
          </w:p>
        </w:tc>
      </w:tr>
      <w:tr w:rsidR="00300DF3" w:rsidRPr="00F257A7" w14:paraId="626237F1" w14:textId="77777777" w:rsidTr="009758E3">
        <w:tc>
          <w:tcPr>
            <w:tcW w:w="6629" w:type="dxa"/>
          </w:tcPr>
          <w:p w14:paraId="5EF0C686" w14:textId="62FC596D" w:rsidR="00300DF3" w:rsidRDefault="00300DF3" w:rsidP="009758E3">
            <w:pPr>
              <w:jc w:val="center"/>
            </w:pPr>
            <w:r>
              <w:t>Additional Information Request</w:t>
            </w:r>
          </w:p>
        </w:tc>
        <w:tc>
          <w:tcPr>
            <w:tcW w:w="2613" w:type="dxa"/>
          </w:tcPr>
          <w:p w14:paraId="55FCE822" w14:textId="464DE518" w:rsidR="00300DF3" w:rsidRDefault="00300DF3" w:rsidP="009758E3">
            <w:pPr>
              <w:jc w:val="center"/>
            </w:pPr>
            <w:r>
              <w:t>Band B</w:t>
            </w:r>
          </w:p>
        </w:tc>
      </w:tr>
      <w:tr w:rsidR="00300DF3" w:rsidRPr="00F257A7" w14:paraId="78632E0F" w14:textId="77777777" w:rsidTr="009758E3">
        <w:tc>
          <w:tcPr>
            <w:tcW w:w="6629" w:type="dxa"/>
          </w:tcPr>
          <w:p w14:paraId="26377C07" w14:textId="22F14807" w:rsidR="00300DF3" w:rsidRDefault="00300DF3" w:rsidP="009758E3">
            <w:pPr>
              <w:jc w:val="center"/>
            </w:pPr>
            <w:r>
              <w:t>Adoption/Fostering Medical</w:t>
            </w:r>
          </w:p>
        </w:tc>
        <w:tc>
          <w:tcPr>
            <w:tcW w:w="2613" w:type="dxa"/>
          </w:tcPr>
          <w:p w14:paraId="399DDE3A" w14:textId="29F4183E" w:rsidR="00300DF3" w:rsidRDefault="00300DF3" w:rsidP="009758E3">
            <w:pPr>
              <w:jc w:val="center"/>
            </w:pPr>
            <w:r>
              <w:t>Band F</w:t>
            </w:r>
          </w:p>
        </w:tc>
      </w:tr>
      <w:tr w:rsidR="00300DF3" w:rsidRPr="00F257A7" w14:paraId="45206775" w14:textId="77777777" w:rsidTr="00A259AE">
        <w:tc>
          <w:tcPr>
            <w:tcW w:w="9242" w:type="dxa"/>
            <w:gridSpan w:val="2"/>
          </w:tcPr>
          <w:p w14:paraId="00B1EEBD" w14:textId="3BF3B69C" w:rsidR="00300DF3" w:rsidRDefault="00300DF3" w:rsidP="009758E3">
            <w:pPr>
              <w:jc w:val="center"/>
            </w:pPr>
            <w:r>
              <w:rPr>
                <w:b/>
              </w:rPr>
              <w:t>Medical Investigations</w:t>
            </w:r>
          </w:p>
        </w:tc>
      </w:tr>
      <w:tr w:rsidR="00300DF3" w:rsidRPr="00F257A7" w14:paraId="4FADB776" w14:textId="77777777" w:rsidTr="009758E3">
        <w:tc>
          <w:tcPr>
            <w:tcW w:w="6629" w:type="dxa"/>
          </w:tcPr>
          <w:p w14:paraId="51316128" w14:textId="40A1489F" w:rsidR="00300DF3" w:rsidRDefault="00300DF3" w:rsidP="00300DF3">
            <w:pPr>
              <w:jc w:val="center"/>
            </w:pPr>
            <w:r>
              <w:t>Road Traffic Accident (RTA) Treatment</w:t>
            </w:r>
          </w:p>
        </w:tc>
        <w:tc>
          <w:tcPr>
            <w:tcW w:w="2613" w:type="dxa"/>
          </w:tcPr>
          <w:p w14:paraId="6E691093" w14:textId="066BD8D4" w:rsidR="00300DF3" w:rsidRDefault="00300DF3" w:rsidP="00300DF3">
            <w:pPr>
              <w:jc w:val="center"/>
            </w:pPr>
            <w:r>
              <w:t>Band A</w:t>
            </w:r>
          </w:p>
        </w:tc>
      </w:tr>
      <w:tr w:rsidR="00300DF3" w:rsidRPr="00F257A7" w14:paraId="6BDFF360" w14:textId="77777777" w:rsidTr="009758E3">
        <w:tc>
          <w:tcPr>
            <w:tcW w:w="6629" w:type="dxa"/>
          </w:tcPr>
          <w:p w14:paraId="036EF66D" w14:textId="24358E8B" w:rsidR="00300DF3" w:rsidRDefault="00300DF3" w:rsidP="00300DF3">
            <w:pPr>
              <w:jc w:val="center"/>
            </w:pPr>
            <w:r>
              <w:t>Blood Tests</w:t>
            </w:r>
          </w:p>
        </w:tc>
        <w:tc>
          <w:tcPr>
            <w:tcW w:w="2613" w:type="dxa"/>
          </w:tcPr>
          <w:p w14:paraId="52F06859" w14:textId="5BF8989A" w:rsidR="00300DF3" w:rsidRDefault="00300DF3" w:rsidP="00300DF3">
            <w:pPr>
              <w:jc w:val="center"/>
            </w:pPr>
            <w:r>
              <w:t>Band A</w:t>
            </w:r>
          </w:p>
        </w:tc>
      </w:tr>
      <w:tr w:rsidR="00300DF3" w:rsidRPr="00F257A7" w14:paraId="34A5273A" w14:textId="77777777" w:rsidTr="009758E3">
        <w:tc>
          <w:tcPr>
            <w:tcW w:w="6629" w:type="dxa"/>
          </w:tcPr>
          <w:p w14:paraId="098889F0" w14:textId="41BEBBF4" w:rsidR="00300DF3" w:rsidRDefault="00300DF3" w:rsidP="00300DF3">
            <w:pPr>
              <w:jc w:val="center"/>
            </w:pPr>
            <w:r>
              <w:t>Assessment of Capacity</w:t>
            </w:r>
          </w:p>
        </w:tc>
        <w:tc>
          <w:tcPr>
            <w:tcW w:w="2613" w:type="dxa"/>
          </w:tcPr>
          <w:p w14:paraId="56206A91" w14:textId="67C35989" w:rsidR="00300DF3" w:rsidRDefault="00300DF3" w:rsidP="00300DF3">
            <w:pPr>
              <w:jc w:val="center"/>
            </w:pPr>
            <w:r>
              <w:t>Band F</w:t>
            </w:r>
          </w:p>
        </w:tc>
      </w:tr>
      <w:tr w:rsidR="00300DF3" w:rsidRPr="00F257A7" w14:paraId="75F32E35" w14:textId="77777777" w:rsidTr="009758E3">
        <w:tc>
          <w:tcPr>
            <w:tcW w:w="6629" w:type="dxa"/>
          </w:tcPr>
          <w:p w14:paraId="7DE45686" w14:textId="0F6D5FC7" w:rsidR="00300DF3" w:rsidRDefault="00300DF3" w:rsidP="00300DF3">
            <w:pPr>
              <w:jc w:val="center"/>
            </w:pPr>
            <w:r>
              <w:t>Power of Attorney</w:t>
            </w:r>
          </w:p>
        </w:tc>
        <w:tc>
          <w:tcPr>
            <w:tcW w:w="2613" w:type="dxa"/>
          </w:tcPr>
          <w:p w14:paraId="3BD859A0" w14:textId="0DE7DD9D" w:rsidR="00300DF3" w:rsidRDefault="00300DF3" w:rsidP="00300DF3">
            <w:pPr>
              <w:jc w:val="center"/>
            </w:pPr>
            <w:r>
              <w:t>Band F</w:t>
            </w:r>
          </w:p>
        </w:tc>
      </w:tr>
      <w:tr w:rsidR="00300DF3" w:rsidRPr="00F257A7" w14:paraId="7AAED7C5" w14:textId="77777777" w:rsidTr="009758E3">
        <w:tc>
          <w:tcPr>
            <w:tcW w:w="6629" w:type="dxa"/>
          </w:tcPr>
          <w:p w14:paraId="724E6028" w14:textId="2F7F070A" w:rsidR="00300DF3" w:rsidRDefault="00300DF3" w:rsidP="00300DF3">
            <w:pPr>
              <w:jc w:val="center"/>
            </w:pPr>
            <w:r>
              <w:t>Occupational Health Assessment</w:t>
            </w:r>
          </w:p>
        </w:tc>
        <w:tc>
          <w:tcPr>
            <w:tcW w:w="2613" w:type="dxa"/>
          </w:tcPr>
          <w:p w14:paraId="43CBC0C3" w14:textId="43A1FB91" w:rsidR="00300DF3" w:rsidRDefault="00300DF3" w:rsidP="00300DF3">
            <w:pPr>
              <w:jc w:val="center"/>
            </w:pPr>
            <w:r>
              <w:t>Band E</w:t>
            </w:r>
          </w:p>
        </w:tc>
      </w:tr>
      <w:tr w:rsidR="00300DF3" w:rsidRPr="00F257A7" w14:paraId="3989E54A" w14:textId="77777777" w:rsidTr="001B32C9">
        <w:tc>
          <w:tcPr>
            <w:tcW w:w="9242" w:type="dxa"/>
            <w:gridSpan w:val="2"/>
          </w:tcPr>
          <w:p w14:paraId="3FC667D3" w14:textId="24B07ECA" w:rsidR="00300DF3" w:rsidRPr="00300DF3" w:rsidRDefault="00300DF3" w:rsidP="00300DF3">
            <w:pPr>
              <w:jc w:val="center"/>
              <w:rPr>
                <w:b/>
                <w:bCs/>
              </w:rPr>
            </w:pPr>
            <w:r w:rsidRPr="00300DF3">
              <w:rPr>
                <w:b/>
                <w:bCs/>
              </w:rPr>
              <w:t>Forms</w:t>
            </w:r>
            <w:r>
              <w:rPr>
                <w:b/>
                <w:bCs/>
              </w:rPr>
              <w:t xml:space="preserve"> and Letters</w:t>
            </w:r>
          </w:p>
        </w:tc>
      </w:tr>
      <w:tr w:rsidR="00300DF3" w:rsidRPr="00F257A7" w14:paraId="679AA200" w14:textId="77777777" w:rsidTr="009758E3">
        <w:tc>
          <w:tcPr>
            <w:tcW w:w="6629" w:type="dxa"/>
          </w:tcPr>
          <w:p w14:paraId="7A2E2757" w14:textId="60467021" w:rsidR="00300DF3" w:rsidRDefault="00300DF3" w:rsidP="00300DF3">
            <w:pPr>
              <w:jc w:val="center"/>
            </w:pPr>
            <w:r>
              <w:t>To Whom it May Concern letter</w:t>
            </w:r>
          </w:p>
        </w:tc>
        <w:tc>
          <w:tcPr>
            <w:tcW w:w="2613" w:type="dxa"/>
          </w:tcPr>
          <w:p w14:paraId="57A81E2E" w14:textId="6F9AFC05" w:rsidR="00300DF3" w:rsidRDefault="00300DF3" w:rsidP="00300DF3">
            <w:pPr>
              <w:jc w:val="center"/>
            </w:pPr>
            <w:r>
              <w:t>Band A</w:t>
            </w:r>
          </w:p>
        </w:tc>
      </w:tr>
      <w:tr w:rsidR="00300DF3" w:rsidRPr="00F257A7" w14:paraId="63AF8543" w14:textId="77777777" w:rsidTr="009758E3">
        <w:tc>
          <w:tcPr>
            <w:tcW w:w="6629" w:type="dxa"/>
          </w:tcPr>
          <w:p w14:paraId="48150F4C" w14:textId="2EEE4370" w:rsidR="00300DF3" w:rsidRDefault="00300DF3" w:rsidP="00300DF3">
            <w:pPr>
              <w:jc w:val="center"/>
            </w:pPr>
            <w:r>
              <w:t>Holiday Cancellation Form</w:t>
            </w:r>
          </w:p>
        </w:tc>
        <w:tc>
          <w:tcPr>
            <w:tcW w:w="2613" w:type="dxa"/>
          </w:tcPr>
          <w:p w14:paraId="6AF8BE75" w14:textId="7B2DA780" w:rsidR="00300DF3" w:rsidRDefault="00300DF3" w:rsidP="00300DF3">
            <w:pPr>
              <w:jc w:val="center"/>
            </w:pPr>
            <w:r>
              <w:t>Band B</w:t>
            </w:r>
          </w:p>
        </w:tc>
      </w:tr>
      <w:tr w:rsidR="00300DF3" w:rsidRPr="00F257A7" w14:paraId="6C04C799" w14:textId="77777777" w:rsidTr="009758E3">
        <w:tc>
          <w:tcPr>
            <w:tcW w:w="6629" w:type="dxa"/>
          </w:tcPr>
          <w:p w14:paraId="59FE5D7A" w14:textId="57B5836C" w:rsidR="00300DF3" w:rsidRDefault="00300DF3" w:rsidP="00300DF3">
            <w:pPr>
              <w:jc w:val="center"/>
            </w:pPr>
            <w:r>
              <w:t>Claim Form</w:t>
            </w:r>
            <w:r w:rsidR="00BD7345">
              <w:t xml:space="preserve"> (e.g. Pension)</w:t>
            </w:r>
          </w:p>
        </w:tc>
        <w:tc>
          <w:tcPr>
            <w:tcW w:w="2613" w:type="dxa"/>
          </w:tcPr>
          <w:p w14:paraId="0E54F341" w14:textId="62D1947D" w:rsidR="00300DF3" w:rsidRDefault="00300DF3" w:rsidP="00300DF3">
            <w:pPr>
              <w:jc w:val="center"/>
            </w:pPr>
            <w:r>
              <w:t>Band B</w:t>
            </w:r>
          </w:p>
        </w:tc>
      </w:tr>
      <w:tr w:rsidR="00300DF3" w:rsidRPr="00F257A7" w14:paraId="6C8D8761" w14:textId="77777777" w:rsidTr="009758E3">
        <w:tc>
          <w:tcPr>
            <w:tcW w:w="6629" w:type="dxa"/>
          </w:tcPr>
          <w:p w14:paraId="22F69A35" w14:textId="5C47D594" w:rsidR="00300DF3" w:rsidRDefault="00BD7345" w:rsidP="00300DF3">
            <w:pPr>
              <w:jc w:val="center"/>
            </w:pPr>
            <w:r>
              <w:t>PIP form</w:t>
            </w:r>
          </w:p>
        </w:tc>
        <w:tc>
          <w:tcPr>
            <w:tcW w:w="2613" w:type="dxa"/>
          </w:tcPr>
          <w:p w14:paraId="69869EF8" w14:textId="0BD3DDB7" w:rsidR="00300DF3" w:rsidRDefault="00BD7345" w:rsidP="00300DF3">
            <w:pPr>
              <w:jc w:val="center"/>
            </w:pPr>
            <w:r>
              <w:t>Band A</w:t>
            </w:r>
          </w:p>
        </w:tc>
      </w:tr>
      <w:tr w:rsidR="00300DF3" w:rsidRPr="00F257A7" w14:paraId="1DFAF0DE" w14:textId="77777777" w:rsidTr="009758E3">
        <w:tc>
          <w:tcPr>
            <w:tcW w:w="6629" w:type="dxa"/>
          </w:tcPr>
          <w:p w14:paraId="7EBD7DB6" w14:textId="547AD5D0" w:rsidR="00300DF3" w:rsidRDefault="00BD7345" w:rsidP="00300DF3">
            <w:pPr>
              <w:jc w:val="center"/>
            </w:pPr>
            <w:r>
              <w:t>DVLA Form</w:t>
            </w:r>
          </w:p>
        </w:tc>
        <w:tc>
          <w:tcPr>
            <w:tcW w:w="2613" w:type="dxa"/>
          </w:tcPr>
          <w:p w14:paraId="468CADF9" w14:textId="48236BF5" w:rsidR="00300DF3" w:rsidRDefault="00BD7345" w:rsidP="00300DF3">
            <w:pPr>
              <w:jc w:val="center"/>
            </w:pPr>
            <w:r>
              <w:t>Band B</w:t>
            </w:r>
          </w:p>
        </w:tc>
      </w:tr>
      <w:tr w:rsidR="00300DF3" w:rsidRPr="00F257A7" w14:paraId="0DD35172" w14:textId="77777777" w:rsidTr="009758E3">
        <w:tc>
          <w:tcPr>
            <w:tcW w:w="6629" w:type="dxa"/>
          </w:tcPr>
          <w:p w14:paraId="03DA04D4" w14:textId="352F5E87" w:rsidR="00300DF3" w:rsidRDefault="00300DF3" w:rsidP="00300DF3">
            <w:pPr>
              <w:jc w:val="center"/>
            </w:pPr>
            <w:r>
              <w:t>Duplicated Subject Access Request</w:t>
            </w:r>
          </w:p>
        </w:tc>
        <w:tc>
          <w:tcPr>
            <w:tcW w:w="2613" w:type="dxa"/>
          </w:tcPr>
          <w:p w14:paraId="5DF7FDE0" w14:textId="639D3F32" w:rsidR="00300DF3" w:rsidRDefault="00300DF3" w:rsidP="00300DF3">
            <w:pPr>
              <w:jc w:val="center"/>
            </w:pPr>
            <w:r>
              <w:t>Bands</w:t>
            </w:r>
            <w:r w:rsidR="00BD7345">
              <w:t xml:space="preserve"> E-</w:t>
            </w:r>
            <w:r w:rsidR="001274F3">
              <w:t>R</w:t>
            </w:r>
          </w:p>
        </w:tc>
      </w:tr>
      <w:tr w:rsidR="00300DF3" w:rsidRPr="00F257A7" w14:paraId="3866412C" w14:textId="77777777" w:rsidTr="009758E3">
        <w:tc>
          <w:tcPr>
            <w:tcW w:w="6629" w:type="dxa"/>
          </w:tcPr>
          <w:p w14:paraId="7EE8386F" w14:textId="7A6D76D1" w:rsidR="00300DF3" w:rsidRDefault="00BD7345" w:rsidP="00300DF3">
            <w:pPr>
              <w:jc w:val="center"/>
            </w:pPr>
            <w:r>
              <w:t>Certificate of Fact</w:t>
            </w:r>
          </w:p>
        </w:tc>
        <w:tc>
          <w:tcPr>
            <w:tcW w:w="2613" w:type="dxa"/>
          </w:tcPr>
          <w:p w14:paraId="2DC9F91B" w14:textId="28B0D6C0" w:rsidR="00300DF3" w:rsidRDefault="00BD7345" w:rsidP="00300DF3">
            <w:pPr>
              <w:jc w:val="center"/>
            </w:pPr>
            <w:r>
              <w:t>Band A</w:t>
            </w:r>
          </w:p>
        </w:tc>
      </w:tr>
      <w:tr w:rsidR="00300DF3" w:rsidRPr="00F257A7" w14:paraId="04762BE8" w14:textId="77777777" w:rsidTr="009758E3">
        <w:tc>
          <w:tcPr>
            <w:tcW w:w="6629" w:type="dxa"/>
          </w:tcPr>
          <w:p w14:paraId="45DF0FF3" w14:textId="6134CCC2" w:rsidR="00300DF3" w:rsidRDefault="00BD7345" w:rsidP="00300DF3">
            <w:pPr>
              <w:jc w:val="center"/>
            </w:pPr>
            <w:r>
              <w:rPr>
                <w:rFonts w:ascii="Gill Sans MT" w:hAnsi="Gill Sans MT"/>
              </w:rPr>
              <w:t>Private Sick Note (within first 7 days)</w:t>
            </w:r>
          </w:p>
        </w:tc>
        <w:tc>
          <w:tcPr>
            <w:tcW w:w="2613" w:type="dxa"/>
          </w:tcPr>
          <w:p w14:paraId="1973A463" w14:textId="2BED5D33" w:rsidR="00300DF3" w:rsidRDefault="00BD7345" w:rsidP="00300DF3">
            <w:pPr>
              <w:jc w:val="center"/>
            </w:pPr>
            <w:r>
              <w:t>Band B</w:t>
            </w:r>
          </w:p>
        </w:tc>
      </w:tr>
      <w:tr w:rsidR="00BD7345" w:rsidRPr="00F257A7" w14:paraId="73C631F1" w14:textId="77777777" w:rsidTr="009758E3">
        <w:tc>
          <w:tcPr>
            <w:tcW w:w="6629" w:type="dxa"/>
          </w:tcPr>
          <w:p w14:paraId="461AFB11" w14:textId="47B8F789" w:rsidR="00BD7345" w:rsidRDefault="00BD7345" w:rsidP="00300DF3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Firearm Certificate</w:t>
            </w:r>
          </w:p>
        </w:tc>
        <w:tc>
          <w:tcPr>
            <w:tcW w:w="2613" w:type="dxa"/>
          </w:tcPr>
          <w:p w14:paraId="141E91A5" w14:textId="760BE5CC" w:rsidR="00BD7345" w:rsidRDefault="00BD7345" w:rsidP="00300DF3">
            <w:pPr>
              <w:jc w:val="center"/>
            </w:pPr>
            <w:r>
              <w:t>Band B</w:t>
            </w:r>
          </w:p>
        </w:tc>
      </w:tr>
      <w:tr w:rsidR="00BD7345" w:rsidRPr="00F257A7" w14:paraId="74510EAF" w14:textId="77777777" w:rsidTr="009758E3">
        <w:tc>
          <w:tcPr>
            <w:tcW w:w="6629" w:type="dxa"/>
          </w:tcPr>
          <w:p w14:paraId="337AB75C" w14:textId="382296A7" w:rsidR="00BD7345" w:rsidRDefault="00BD7345" w:rsidP="00300DF3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Miscellaneous Forms and References</w:t>
            </w:r>
          </w:p>
        </w:tc>
        <w:tc>
          <w:tcPr>
            <w:tcW w:w="2613" w:type="dxa"/>
          </w:tcPr>
          <w:p w14:paraId="05D916EC" w14:textId="7C4FDED1" w:rsidR="00BD7345" w:rsidRDefault="00BD7345" w:rsidP="00300DF3">
            <w:pPr>
              <w:jc w:val="center"/>
            </w:pPr>
            <w:r>
              <w:t>Band B</w:t>
            </w:r>
          </w:p>
        </w:tc>
      </w:tr>
      <w:tr w:rsidR="00DF0185" w:rsidRPr="00F257A7" w14:paraId="404A6F09" w14:textId="77777777" w:rsidTr="000177D7">
        <w:tc>
          <w:tcPr>
            <w:tcW w:w="9242" w:type="dxa"/>
            <w:gridSpan w:val="2"/>
          </w:tcPr>
          <w:p w14:paraId="4DE517A7" w14:textId="77777777" w:rsidR="00DF0185" w:rsidRDefault="00DF0185" w:rsidP="00DF0185">
            <w:pPr>
              <w:jc w:val="center"/>
            </w:pPr>
          </w:p>
          <w:p w14:paraId="3E678A30" w14:textId="77777777" w:rsidR="00DF0185" w:rsidRDefault="00DF0185" w:rsidP="00DF0185">
            <w:pPr>
              <w:jc w:val="center"/>
            </w:pPr>
            <w:r>
              <w:t xml:space="preserve">Please note the prices stated above are </w:t>
            </w:r>
            <w:r>
              <w:t>an indication of prices only.</w:t>
            </w:r>
          </w:p>
          <w:p w14:paraId="77CDEB3E" w14:textId="18F4307C" w:rsidR="00DF0185" w:rsidRDefault="00DF0185" w:rsidP="00300DF3">
            <w:pPr>
              <w:jc w:val="center"/>
            </w:pPr>
            <w:r>
              <w:t>Deposits will be charged based on our anticipated charge but patients should be aware that a further balancing payment may be required once the final cost has been calculated.</w:t>
            </w:r>
          </w:p>
          <w:p w14:paraId="71C8D2C3" w14:textId="77777777" w:rsidR="00DF0185" w:rsidRDefault="00DF0185" w:rsidP="00300DF3">
            <w:pPr>
              <w:jc w:val="center"/>
            </w:pPr>
          </w:p>
        </w:tc>
      </w:tr>
    </w:tbl>
    <w:p w14:paraId="072DC016" w14:textId="77777777" w:rsidR="00EB25AB" w:rsidRDefault="00EB25AB" w:rsidP="00EB25A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E6EF6" w14:paraId="19808A29" w14:textId="77777777" w:rsidTr="00D678B3">
        <w:tc>
          <w:tcPr>
            <w:tcW w:w="9242" w:type="dxa"/>
            <w:gridSpan w:val="2"/>
          </w:tcPr>
          <w:p w14:paraId="0FA71FED" w14:textId="77777777" w:rsidR="00EE6EF6" w:rsidRPr="00EE6EF6" w:rsidRDefault="00EE6EF6" w:rsidP="00EB25AB">
            <w:pPr>
              <w:jc w:val="center"/>
              <w:rPr>
                <w:b/>
              </w:rPr>
            </w:pPr>
            <w:r>
              <w:rPr>
                <w:b/>
              </w:rPr>
              <w:t>Travel Services</w:t>
            </w:r>
          </w:p>
        </w:tc>
      </w:tr>
      <w:tr w:rsidR="00EE6EF6" w14:paraId="4E9CA2B9" w14:textId="77777777" w:rsidTr="00EE6EF6">
        <w:tc>
          <w:tcPr>
            <w:tcW w:w="4621" w:type="dxa"/>
          </w:tcPr>
          <w:p w14:paraId="7341102C" w14:textId="77777777" w:rsidR="00EE6EF6" w:rsidRDefault="00E24D04" w:rsidP="00EB25AB">
            <w:pPr>
              <w:jc w:val="center"/>
            </w:pPr>
            <w:r>
              <w:t>Certificate of Vaccination</w:t>
            </w:r>
          </w:p>
        </w:tc>
        <w:tc>
          <w:tcPr>
            <w:tcW w:w="4621" w:type="dxa"/>
          </w:tcPr>
          <w:p w14:paraId="22165A8D" w14:textId="77777777" w:rsidR="00EE6EF6" w:rsidRDefault="00E24D04" w:rsidP="00F04E06">
            <w:pPr>
              <w:jc w:val="center"/>
            </w:pPr>
            <w:r>
              <w:t>£</w:t>
            </w:r>
            <w:r w:rsidR="00F04E06">
              <w:t>4</w:t>
            </w:r>
            <w:r>
              <w:t>0</w:t>
            </w:r>
          </w:p>
        </w:tc>
      </w:tr>
      <w:tr w:rsidR="00DF0185" w14:paraId="260FF67B" w14:textId="77777777" w:rsidTr="00EE6EF6">
        <w:tc>
          <w:tcPr>
            <w:tcW w:w="4621" w:type="dxa"/>
          </w:tcPr>
          <w:p w14:paraId="7F6720D3" w14:textId="0643CA92" w:rsidR="00DF0185" w:rsidRDefault="00C401D8" w:rsidP="00EB25AB">
            <w:pPr>
              <w:jc w:val="center"/>
            </w:pPr>
            <w:r>
              <w:t xml:space="preserve">Hep A / Typhoid / Cholera </w:t>
            </w:r>
            <w:r w:rsidR="00471DED">
              <w:t>/ Polio</w:t>
            </w:r>
          </w:p>
        </w:tc>
        <w:tc>
          <w:tcPr>
            <w:tcW w:w="4621" w:type="dxa"/>
          </w:tcPr>
          <w:p w14:paraId="326349B8" w14:textId="351124E7" w:rsidR="00DF0185" w:rsidRDefault="00C401D8" w:rsidP="00F04E06">
            <w:pPr>
              <w:jc w:val="center"/>
            </w:pPr>
            <w:r>
              <w:t>Free</w:t>
            </w:r>
          </w:p>
        </w:tc>
      </w:tr>
      <w:tr w:rsidR="00DF0185" w14:paraId="637DE0EE" w14:textId="77777777" w:rsidTr="00E60A2F">
        <w:trPr>
          <w:trHeight w:val="1316"/>
        </w:trPr>
        <w:tc>
          <w:tcPr>
            <w:tcW w:w="9242" w:type="dxa"/>
            <w:gridSpan w:val="2"/>
          </w:tcPr>
          <w:p w14:paraId="45F59846" w14:textId="77777777" w:rsidR="00DF0185" w:rsidRDefault="00DF0185" w:rsidP="00DF0185"/>
          <w:p w14:paraId="5948AC83" w14:textId="77777777" w:rsidR="00471DED" w:rsidRDefault="00471DED" w:rsidP="00DF0185">
            <w:r>
              <w:t>Please note we only offer the travel vaccinations available at no charge from the NHS.</w:t>
            </w:r>
          </w:p>
          <w:p w14:paraId="5D8D44C0" w14:textId="77777777" w:rsidR="00471DED" w:rsidRDefault="00471DED" w:rsidP="00DF0185"/>
          <w:p w14:paraId="37982987" w14:textId="3F935CF4" w:rsidR="00471DED" w:rsidRDefault="00471DED" w:rsidP="00DF0185">
            <w:r>
              <w:t>Additional vaccinations required for travel will need to be sought from Travel Vaccination Centres</w:t>
            </w:r>
          </w:p>
        </w:tc>
      </w:tr>
    </w:tbl>
    <w:p w14:paraId="2BC9FA38" w14:textId="77777777" w:rsidR="00471DED" w:rsidRDefault="00471DED" w:rsidP="002F27D7">
      <w:pPr>
        <w:jc w:val="center"/>
      </w:pPr>
    </w:p>
    <w:p w14:paraId="3DD7FB0F" w14:textId="1361D8E1" w:rsidR="00171F4B" w:rsidRPr="008B3CBC" w:rsidRDefault="002F27D7" w:rsidP="002F27D7">
      <w:pPr>
        <w:jc w:val="center"/>
      </w:pPr>
      <w:r>
        <w:t>We do NOT provide” Fitness To” Forms for example Fitness to Fly. Patients should seek a Private GP to undertake such “Fitness To” forms.</w:t>
      </w:r>
    </w:p>
    <w:sectPr w:rsidR="00171F4B" w:rsidRPr="008B3CBC" w:rsidSect="00F33503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426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C54F3" w14:textId="77777777" w:rsidR="005224FF" w:rsidRDefault="005224FF" w:rsidP="0000193B">
      <w:pPr>
        <w:spacing w:after="0" w:line="240" w:lineRule="auto"/>
      </w:pPr>
      <w:r>
        <w:separator/>
      </w:r>
    </w:p>
  </w:endnote>
  <w:endnote w:type="continuationSeparator" w:id="0">
    <w:p w14:paraId="635D4B73" w14:textId="77777777" w:rsidR="005224FF" w:rsidRDefault="005224FF" w:rsidP="0000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3491" w14:textId="69822D52" w:rsidR="0000193B" w:rsidRPr="00426965" w:rsidRDefault="0000193B" w:rsidP="002F27D7">
    <w:pPr>
      <w:pStyle w:val="Footer"/>
      <w:tabs>
        <w:tab w:val="clear" w:pos="9026"/>
        <w:tab w:val="right" w:pos="9214"/>
      </w:tabs>
      <w:ind w:right="-1049"/>
      <w:rPr>
        <w:rFonts w:ascii="Latha" w:eastAsia="Calibri" w:hAnsi="Latha" w:cs="Lath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32F0" w14:textId="77777777" w:rsidR="005224FF" w:rsidRDefault="005224FF" w:rsidP="0000193B">
      <w:pPr>
        <w:spacing w:after="0" w:line="240" w:lineRule="auto"/>
      </w:pPr>
      <w:r>
        <w:separator/>
      </w:r>
    </w:p>
  </w:footnote>
  <w:footnote w:type="continuationSeparator" w:id="0">
    <w:p w14:paraId="187D0E24" w14:textId="77777777" w:rsidR="005224FF" w:rsidRDefault="005224FF" w:rsidP="0000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62C0" w14:textId="77777777" w:rsidR="0002414B" w:rsidRDefault="0002414B" w:rsidP="0000193B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ascii="Latha" w:hAnsi="Latha" w:cs="Latha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F0D7" w14:textId="77777777" w:rsidR="00F33503" w:rsidRDefault="00F33503" w:rsidP="00F33503">
    <w:pPr>
      <w:pStyle w:val="Header"/>
      <w:tabs>
        <w:tab w:val="clear" w:pos="4513"/>
        <w:tab w:val="clear" w:pos="9026"/>
        <w:tab w:val="left" w:pos="2790"/>
      </w:tabs>
      <w:jc w:val="right"/>
    </w:pPr>
    <w:r w:rsidRPr="0000193B">
      <w:rPr>
        <w:noProof/>
      </w:rPr>
      <w:drawing>
        <wp:anchor distT="0" distB="0" distL="114300" distR="114300" simplePos="0" relativeHeight="251659264" behindDoc="1" locked="0" layoutInCell="1" allowOverlap="1" wp14:anchorId="3806070F" wp14:editId="21928030">
          <wp:simplePos x="0" y="0"/>
          <wp:positionH relativeFrom="column">
            <wp:posOffset>238125</wp:posOffset>
          </wp:positionH>
          <wp:positionV relativeFrom="paragraph">
            <wp:posOffset>81915</wp:posOffset>
          </wp:positionV>
          <wp:extent cx="1752600" cy="1122045"/>
          <wp:effectExtent l="0" t="0" r="0" b="1905"/>
          <wp:wrapTight wrapText="bothSides">
            <wp:wrapPolygon edited="0">
              <wp:start x="0" y="0"/>
              <wp:lineTo x="0" y="21270"/>
              <wp:lineTo x="21365" y="21270"/>
              <wp:lineTo x="21365" y="0"/>
              <wp:lineTo x="0" y="0"/>
            </wp:wrapPolygon>
          </wp:wrapTight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22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DF186F" w14:textId="77777777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jc w:val="right"/>
      <w:rPr>
        <w:rFonts w:cstheme="minorHAnsi"/>
        <w:sz w:val="16"/>
        <w:szCs w:val="16"/>
      </w:rPr>
    </w:pPr>
    <w:r w:rsidRPr="002F27D7">
      <w:rPr>
        <w:rFonts w:cstheme="minorHAnsi"/>
        <w:sz w:val="16"/>
        <w:szCs w:val="16"/>
      </w:rPr>
      <w:t>The Market Surgery</w:t>
    </w:r>
  </w:p>
  <w:p w14:paraId="26B93A3C" w14:textId="77777777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jc w:val="right"/>
      <w:rPr>
        <w:rFonts w:cstheme="minorHAnsi"/>
        <w:sz w:val="16"/>
        <w:szCs w:val="16"/>
      </w:rPr>
    </w:pPr>
    <w:r w:rsidRPr="002F27D7">
      <w:rPr>
        <w:rFonts w:cstheme="minorHAnsi"/>
        <w:sz w:val="16"/>
        <w:szCs w:val="16"/>
      </w:rPr>
      <w:tab/>
      <w:t>Warehouse Lane</w:t>
    </w:r>
  </w:p>
  <w:p w14:paraId="2AFBD675" w14:textId="77777777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cstheme="minorHAnsi"/>
        <w:sz w:val="16"/>
        <w:szCs w:val="16"/>
      </w:rPr>
    </w:pPr>
    <w:r w:rsidRPr="002F27D7">
      <w:rPr>
        <w:rFonts w:cstheme="minorHAnsi"/>
        <w:sz w:val="16"/>
        <w:szCs w:val="16"/>
      </w:rPr>
      <w:t>Wath Upon Dearne</w:t>
    </w:r>
  </w:p>
  <w:p w14:paraId="1A5F04FF" w14:textId="77777777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cstheme="minorHAnsi"/>
        <w:sz w:val="16"/>
        <w:szCs w:val="16"/>
      </w:rPr>
    </w:pPr>
    <w:r w:rsidRPr="002F27D7">
      <w:rPr>
        <w:rFonts w:cstheme="minorHAnsi"/>
        <w:sz w:val="16"/>
        <w:szCs w:val="16"/>
      </w:rPr>
      <w:t>Rotherham</w:t>
    </w:r>
  </w:p>
  <w:p w14:paraId="4A4F70D8" w14:textId="77777777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cstheme="minorHAnsi"/>
        <w:sz w:val="16"/>
        <w:szCs w:val="16"/>
      </w:rPr>
    </w:pPr>
    <w:r w:rsidRPr="002F27D7">
      <w:rPr>
        <w:rFonts w:cstheme="minorHAnsi"/>
        <w:sz w:val="16"/>
        <w:szCs w:val="16"/>
      </w:rPr>
      <w:t>South Yorkshire</w:t>
    </w:r>
  </w:p>
  <w:p w14:paraId="71AE0CDB" w14:textId="026670A3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cstheme="minorHAnsi"/>
        <w:b/>
        <w:sz w:val="16"/>
        <w:szCs w:val="16"/>
      </w:rPr>
    </w:pPr>
    <w:r w:rsidRPr="002F27D7">
      <w:rPr>
        <w:rFonts w:cstheme="minorHAnsi"/>
        <w:sz w:val="16"/>
        <w:szCs w:val="16"/>
      </w:rPr>
      <w:t>S63 7RA</w:t>
    </w:r>
  </w:p>
  <w:p w14:paraId="3D30219F" w14:textId="77777777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cstheme="minorHAnsi"/>
        <w:sz w:val="16"/>
        <w:szCs w:val="16"/>
      </w:rPr>
    </w:pPr>
    <w:r w:rsidRPr="002F27D7">
      <w:rPr>
        <w:rFonts w:cstheme="minorHAnsi"/>
        <w:sz w:val="16"/>
        <w:szCs w:val="16"/>
      </w:rPr>
      <w:t>Phone: (01709) 870150</w:t>
    </w:r>
  </w:p>
  <w:p w14:paraId="5F932173" w14:textId="4BD68A2B" w:rsidR="00F33503" w:rsidRPr="002F27D7" w:rsidRDefault="00471DED" w:rsidP="00F33503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cstheme="minorHAnsi"/>
        <w:sz w:val="16"/>
        <w:szCs w:val="16"/>
      </w:rPr>
    </w:pPr>
    <w:hyperlink r:id="rId2" w:history="1">
      <w:r w:rsidR="00BD7345" w:rsidRPr="002F27D7">
        <w:rPr>
          <w:rStyle w:val="Hyperlink"/>
          <w:rFonts w:cstheme="minorHAnsi"/>
          <w:sz w:val="16"/>
          <w:szCs w:val="16"/>
        </w:rPr>
        <w:t>Syicb-rotherham.market.surgery@nhs.net</w:t>
      </w:r>
    </w:hyperlink>
  </w:p>
  <w:p w14:paraId="2A772653" w14:textId="77777777" w:rsidR="00F33503" w:rsidRPr="002F27D7" w:rsidRDefault="00F33503" w:rsidP="00F33503">
    <w:pPr>
      <w:pStyle w:val="Header"/>
      <w:tabs>
        <w:tab w:val="clear" w:pos="4513"/>
        <w:tab w:val="clear" w:pos="9026"/>
        <w:tab w:val="left" w:pos="2790"/>
      </w:tabs>
      <w:ind w:left="2790"/>
      <w:jc w:val="right"/>
      <w:rPr>
        <w:rFonts w:cstheme="minorHAnsi"/>
        <w:sz w:val="16"/>
        <w:szCs w:val="16"/>
      </w:rPr>
    </w:pPr>
    <w:r w:rsidRPr="002F27D7">
      <w:rPr>
        <w:rFonts w:cstheme="minorHAnsi"/>
        <w:sz w:val="16"/>
        <w:szCs w:val="16"/>
      </w:rPr>
      <w:t>www.marketsurgerywath.nhs.uk</w:t>
    </w:r>
  </w:p>
  <w:p w14:paraId="213802A9" w14:textId="77777777" w:rsidR="00F33503" w:rsidRDefault="00F33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08D3"/>
    <w:multiLevelType w:val="hybridMultilevel"/>
    <w:tmpl w:val="819A824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D53C65"/>
    <w:multiLevelType w:val="hybridMultilevel"/>
    <w:tmpl w:val="0FFE0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3A74"/>
    <w:multiLevelType w:val="hybridMultilevel"/>
    <w:tmpl w:val="45540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954"/>
    <w:multiLevelType w:val="hybridMultilevel"/>
    <w:tmpl w:val="2806E9A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CA52DE"/>
    <w:multiLevelType w:val="hybridMultilevel"/>
    <w:tmpl w:val="00F06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291B"/>
    <w:multiLevelType w:val="hybridMultilevel"/>
    <w:tmpl w:val="424CE3E4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099098A"/>
    <w:multiLevelType w:val="hybridMultilevel"/>
    <w:tmpl w:val="2CA89B3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3434B"/>
    <w:multiLevelType w:val="hybridMultilevel"/>
    <w:tmpl w:val="1488E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9587F"/>
    <w:multiLevelType w:val="hybridMultilevel"/>
    <w:tmpl w:val="84B0FE0E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21324034">
    <w:abstractNumId w:val="6"/>
  </w:num>
  <w:num w:numId="2" w16cid:durableId="357630122">
    <w:abstractNumId w:val="9"/>
  </w:num>
  <w:num w:numId="3" w16cid:durableId="1483038879">
    <w:abstractNumId w:val="1"/>
  </w:num>
  <w:num w:numId="4" w16cid:durableId="401948831">
    <w:abstractNumId w:val="2"/>
  </w:num>
  <w:num w:numId="5" w16cid:durableId="1358310045">
    <w:abstractNumId w:val="8"/>
  </w:num>
  <w:num w:numId="6" w16cid:durableId="1025591461">
    <w:abstractNumId w:val="7"/>
  </w:num>
  <w:num w:numId="7" w16cid:durableId="134496300">
    <w:abstractNumId w:val="10"/>
  </w:num>
  <w:num w:numId="8" w16cid:durableId="854659859">
    <w:abstractNumId w:val="0"/>
  </w:num>
  <w:num w:numId="9" w16cid:durableId="1714698244">
    <w:abstractNumId w:val="3"/>
  </w:num>
  <w:num w:numId="10" w16cid:durableId="1015769085">
    <w:abstractNumId w:val="5"/>
  </w:num>
  <w:num w:numId="11" w16cid:durableId="799766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93B"/>
    <w:rsid w:val="0000193B"/>
    <w:rsid w:val="00006039"/>
    <w:rsid w:val="0002414B"/>
    <w:rsid w:val="000D7061"/>
    <w:rsid w:val="00101948"/>
    <w:rsid w:val="001161FF"/>
    <w:rsid w:val="001271B4"/>
    <w:rsid w:val="001274F3"/>
    <w:rsid w:val="00136805"/>
    <w:rsid w:val="00137560"/>
    <w:rsid w:val="001626AC"/>
    <w:rsid w:val="00171F4B"/>
    <w:rsid w:val="00192B69"/>
    <w:rsid w:val="001B5A8F"/>
    <w:rsid w:val="001D7E77"/>
    <w:rsid w:val="001F4361"/>
    <w:rsid w:val="00230419"/>
    <w:rsid w:val="00241D3A"/>
    <w:rsid w:val="00292328"/>
    <w:rsid w:val="002A34E6"/>
    <w:rsid w:val="002B7979"/>
    <w:rsid w:val="002E1E16"/>
    <w:rsid w:val="002E550D"/>
    <w:rsid w:val="002F27D7"/>
    <w:rsid w:val="00300DF3"/>
    <w:rsid w:val="003206F9"/>
    <w:rsid w:val="003359F4"/>
    <w:rsid w:val="00363845"/>
    <w:rsid w:val="00365D96"/>
    <w:rsid w:val="00366F37"/>
    <w:rsid w:val="00385F90"/>
    <w:rsid w:val="003B481C"/>
    <w:rsid w:val="003F33A2"/>
    <w:rsid w:val="003F33E5"/>
    <w:rsid w:val="003F52A2"/>
    <w:rsid w:val="0041538A"/>
    <w:rsid w:val="0041636D"/>
    <w:rsid w:val="00421CA1"/>
    <w:rsid w:val="00426965"/>
    <w:rsid w:val="00471DED"/>
    <w:rsid w:val="00482114"/>
    <w:rsid w:val="004A6C31"/>
    <w:rsid w:val="004B6BA0"/>
    <w:rsid w:val="005224FF"/>
    <w:rsid w:val="00530C31"/>
    <w:rsid w:val="00567599"/>
    <w:rsid w:val="0057775C"/>
    <w:rsid w:val="00596C6C"/>
    <w:rsid w:val="005C278B"/>
    <w:rsid w:val="005C52D7"/>
    <w:rsid w:val="005E31D6"/>
    <w:rsid w:val="0061367A"/>
    <w:rsid w:val="006157F1"/>
    <w:rsid w:val="00620B54"/>
    <w:rsid w:val="00645DCD"/>
    <w:rsid w:val="006611FE"/>
    <w:rsid w:val="006A1C1A"/>
    <w:rsid w:val="006B3955"/>
    <w:rsid w:val="00715166"/>
    <w:rsid w:val="007503D1"/>
    <w:rsid w:val="00752FD5"/>
    <w:rsid w:val="00766D7F"/>
    <w:rsid w:val="00820045"/>
    <w:rsid w:val="00845F72"/>
    <w:rsid w:val="00891815"/>
    <w:rsid w:val="008B3CBC"/>
    <w:rsid w:val="008C2E8B"/>
    <w:rsid w:val="008C354D"/>
    <w:rsid w:val="008C5FFF"/>
    <w:rsid w:val="008D1D08"/>
    <w:rsid w:val="008E4D6F"/>
    <w:rsid w:val="008E6350"/>
    <w:rsid w:val="008F3ED7"/>
    <w:rsid w:val="008F3FDC"/>
    <w:rsid w:val="0091251D"/>
    <w:rsid w:val="00931D6C"/>
    <w:rsid w:val="00933CCD"/>
    <w:rsid w:val="00942BA8"/>
    <w:rsid w:val="00947F03"/>
    <w:rsid w:val="00960616"/>
    <w:rsid w:val="009758E3"/>
    <w:rsid w:val="009D2EF5"/>
    <w:rsid w:val="009F145C"/>
    <w:rsid w:val="00A42948"/>
    <w:rsid w:val="00A44A53"/>
    <w:rsid w:val="00A51B64"/>
    <w:rsid w:val="00A634D1"/>
    <w:rsid w:val="00A81216"/>
    <w:rsid w:val="00A87CD0"/>
    <w:rsid w:val="00AA5303"/>
    <w:rsid w:val="00AB0C48"/>
    <w:rsid w:val="00B013B8"/>
    <w:rsid w:val="00B104E6"/>
    <w:rsid w:val="00B941F8"/>
    <w:rsid w:val="00BD7345"/>
    <w:rsid w:val="00BE2AEB"/>
    <w:rsid w:val="00C07F0D"/>
    <w:rsid w:val="00C32ABE"/>
    <w:rsid w:val="00C401D8"/>
    <w:rsid w:val="00C70E70"/>
    <w:rsid w:val="00CA0CBA"/>
    <w:rsid w:val="00CB576B"/>
    <w:rsid w:val="00CB6088"/>
    <w:rsid w:val="00CD1B62"/>
    <w:rsid w:val="00D041DC"/>
    <w:rsid w:val="00D27D34"/>
    <w:rsid w:val="00D30151"/>
    <w:rsid w:val="00D408B7"/>
    <w:rsid w:val="00DA65F9"/>
    <w:rsid w:val="00DA7978"/>
    <w:rsid w:val="00DD3CB5"/>
    <w:rsid w:val="00DF0185"/>
    <w:rsid w:val="00E16784"/>
    <w:rsid w:val="00E21B51"/>
    <w:rsid w:val="00E24D04"/>
    <w:rsid w:val="00E272CB"/>
    <w:rsid w:val="00E53A37"/>
    <w:rsid w:val="00E72E85"/>
    <w:rsid w:val="00E76293"/>
    <w:rsid w:val="00E93984"/>
    <w:rsid w:val="00EB25AB"/>
    <w:rsid w:val="00EB3D55"/>
    <w:rsid w:val="00ED35D5"/>
    <w:rsid w:val="00EE6EF6"/>
    <w:rsid w:val="00EE70D5"/>
    <w:rsid w:val="00EF38C6"/>
    <w:rsid w:val="00F04605"/>
    <w:rsid w:val="00F04E06"/>
    <w:rsid w:val="00F06F5F"/>
    <w:rsid w:val="00F257A7"/>
    <w:rsid w:val="00F33503"/>
    <w:rsid w:val="00F54816"/>
    <w:rsid w:val="00F670FF"/>
    <w:rsid w:val="00F9565E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C28985"/>
  <w15:docId w15:val="{CDA035FB-DD74-48D6-9FFC-ABF97B2F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3ED7"/>
    <w:pPr>
      <w:keepNext/>
      <w:tabs>
        <w:tab w:val="left" w:pos="2835"/>
      </w:tabs>
      <w:spacing w:after="0" w:line="240" w:lineRule="auto"/>
      <w:outlineLvl w:val="1"/>
    </w:pPr>
    <w:rPr>
      <w:rFonts w:ascii="Tahoma" w:eastAsia="Times New Roman" w:hAnsi="Tahoma" w:cs="Tahom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93B"/>
  </w:style>
  <w:style w:type="paragraph" w:styleId="Footer">
    <w:name w:val="footer"/>
    <w:basedOn w:val="Normal"/>
    <w:link w:val="FooterChar"/>
    <w:uiPriority w:val="99"/>
    <w:unhideWhenUsed/>
    <w:rsid w:val="00001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93B"/>
  </w:style>
  <w:style w:type="character" w:styleId="Hyperlink">
    <w:name w:val="Hyperlink"/>
    <w:basedOn w:val="DefaultParagraphFont"/>
    <w:uiPriority w:val="99"/>
    <w:unhideWhenUsed/>
    <w:rsid w:val="0002414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34E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F3ED7"/>
    <w:rPr>
      <w:rFonts w:ascii="Tahoma" w:eastAsia="Times New Roman" w:hAnsi="Tahoma" w:cs="Tahoma"/>
      <w:b/>
      <w:sz w:val="24"/>
      <w:szCs w:val="24"/>
    </w:rPr>
  </w:style>
  <w:style w:type="paragraph" w:styleId="Title">
    <w:name w:val="Title"/>
    <w:basedOn w:val="Normal"/>
    <w:link w:val="TitleChar"/>
    <w:qFormat/>
    <w:rsid w:val="008F3ED7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F3ED7"/>
    <w:rPr>
      <w:rFonts w:ascii="Tahoma" w:eastAsia="Times New Roman" w:hAnsi="Tahoma" w:cs="Tahoma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F3ED7"/>
    <w:pPr>
      <w:ind w:left="720"/>
      <w:contextualSpacing/>
    </w:pPr>
  </w:style>
  <w:style w:type="table" w:styleId="TableGrid">
    <w:name w:val="Table Grid"/>
    <w:basedOn w:val="TableNormal"/>
    <w:uiPriority w:val="59"/>
    <w:rsid w:val="00EB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yicb-rotherham.market.surgery@nhs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25751-A71C-4910-A621-CFC68F6B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COX, Mike (MARKET SURGERY)</cp:lastModifiedBy>
  <cp:revision>13</cp:revision>
  <cp:lastPrinted>2020-03-20T10:03:00Z</cp:lastPrinted>
  <dcterms:created xsi:type="dcterms:W3CDTF">2024-05-22T16:29:00Z</dcterms:created>
  <dcterms:modified xsi:type="dcterms:W3CDTF">2024-10-09T14:38:00Z</dcterms:modified>
</cp:coreProperties>
</file>